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rPr>
              <w:t>新疆新业国有资产经营(集团)有限责任公司准东20亿立方米/年煤制天然气项目</w:t>
            </w:r>
            <w:r>
              <w:rPr>
                <w:rFonts w:hint="eastAsia" w:ascii="宋体" w:hAnsi="宋体" w:eastAsia="宋体"/>
                <w:sz w:val="21"/>
                <w:szCs w:val="21"/>
                <w:lang w:val="en-US" w:eastAsia="zh-CN"/>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w:t>
            </w:r>
            <w:bookmarkStart w:id="0" w:name="_GoBack"/>
            <w:bookmarkEnd w:id="0"/>
            <w:r>
              <w:rPr>
                <w:rFonts w:ascii="宋体" w:hAnsi="宋体" w:eastAsia="宋体"/>
                <w:bCs/>
                <w:sz w:val="21"/>
                <w:szCs w:val="21"/>
              </w:rPr>
              <w:t>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BFD354D"/>
    <w:rsid w:val="39F94560"/>
    <w:rsid w:val="44EB321A"/>
    <w:rsid w:val="50543B34"/>
    <w:rsid w:val="582D70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张琳9223</cp:lastModifiedBy>
  <dcterms:modified xsi:type="dcterms:W3CDTF">2024-07-11T07:11:21Z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